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35" w:rsidRDefault="00765235" w:rsidP="003161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Моделирование анти-ВИЧ-активности производных фуллеренов с использованием многоуровневых расчётных схем</w:t>
      </w:r>
    </w:p>
    <w:p w:rsidR="00765235" w:rsidRPr="00A743BF" w:rsidRDefault="00765235" w:rsidP="003161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Жиленков А.В., Краевая О.А., Гуцев Л.Г, Трошин П.А.</w:t>
      </w:r>
    </w:p>
    <w:p w:rsidR="00765235" w:rsidRDefault="00765235" w:rsidP="002F46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механизмов противовирусной активности является необходимым этапом создания противовирусных препаратов. В ходе исследований важно определить не только мишень для лекарственного средства, но и понять в деталях, как осуществляется ингибирование фермента – выявить активные сайты фермента, понять, насколько связывание фермента с ингибитором затрудняет доступ к активным сайтам и т.д. Важную роль тут играют, в том числе, и расчётные методы, такие, как квантово-химическое моделирование структур изучаемых соединений и расчёт связывания ингибитора и протеина.</w:t>
      </w:r>
    </w:p>
    <w:p w:rsidR="00765235" w:rsidRDefault="00765235" w:rsidP="002F46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Молекулярный докинг является достаточно неточным методом расчёта, так как базируется в своей основе на молекулярной механике и не учитывает квантовых эффектов межмолекулярных взаимодействий. Тем не менее, благодаря малой ресурсоёмкости и небольшому времени расчёта этот метод можно широко использовать для приблизительных расчётов при моделировании протеин-лигандных взаимодействий.</w:t>
      </w:r>
    </w:p>
    <w:p w:rsidR="00765235" w:rsidRPr="00F94912" w:rsidRDefault="00765235" w:rsidP="002F46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Используемые на практике одноуровневые схемы молекулярного докинга не дают достаточно адекватной картины протеин-лигандных взаимодействий. </w:t>
      </w:r>
      <w:r>
        <w:rPr>
          <w:rStyle w:val="arxivid"/>
          <w:rFonts w:ascii="Times New Roman" w:hAnsi="Times New Roman"/>
          <w:bCs/>
          <w:color w:val="000000"/>
          <w:sz w:val="24"/>
          <w:szCs w:val="24"/>
        </w:rPr>
        <w:t xml:space="preserve">Альтернативой этому подходу являются многоуровневые расчётные схемы, используемые в данной работе. Алгоритм данного расчёта </w:t>
      </w:r>
      <w:r>
        <w:rPr>
          <w:rFonts w:ascii="Times New Roman" w:hAnsi="Times New Roman"/>
          <w:sz w:val="24"/>
          <w:szCs w:val="24"/>
        </w:rPr>
        <w:t>включает расчёт свободной энергии связывания не только для взаимодействия макромолекулы фермента спроизводным фуллерена и субстратом, но и расчёт свободной энергии связывания фермент-фуллеренового комплекса с субстратом, а также расчёт свободной энергии связывания фермент-субстратного комплекса с производным фуллерена.</w:t>
      </w:r>
    </w:p>
    <w:p w:rsidR="00765235" w:rsidRDefault="00765235" w:rsidP="002F46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подход уже доказал свою эффективность в описании ингибирования производными фуллерена вирусов гриппа. В данной работе мы расширяем использование многоуровневых схем для описания ингибирования производными фуллерена ферментов вируса иммунодефицита человека.</w:t>
      </w:r>
    </w:p>
    <w:p w:rsidR="00765235" w:rsidRDefault="00765235" w:rsidP="002F46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три основных мишени для дизайна препаратов для антиретровирусной терапии ВИЧ – протеаза ВИЧ, обратная транскриптаза ВИЧ и интеграза ВИЧ. Из этих ферментов протеаза ВИЧ является наиболее популярной мишенью для исследования. Однако большой проблемой при этом является высокая скорость мутации ВИЧ, благодаря чему быстро вырабатывается резистентность к лекарствам. Следовательно, более актуальными на данный момент являются две других мишени – обратная транскриптаза ВИЧ и интеграза ВИЧ.</w:t>
      </w:r>
    </w:p>
    <w:p w:rsidR="00765235" w:rsidRDefault="00765235" w:rsidP="00D17D6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ab/>
        <w:t>Производные фуллерена давно известны как перспективные противовирусные препараты, в частности – как потенциальные ингибиторы ВИЧ. В Лаборатории полифункциональных материалов для электроники и медицины ФИЦ ПХФиМХ РАН давно ведётся разработка методов получения индивидуальных производных фуллерена и анализ их биологической активности. В данном докладе будут представлены результаты моделирования ингибирующей активности производных фуллерена, представленных на Рисунке 1, в отношении обратной транскриптазы ВИЧ и интегразы ВИЧ. Все представленные соединения были синтезированы сотрудниками Лаборатории полифункциональных материалов для электроники и медицины ФИЦ ПХФиМХ РАН.</w:t>
      </w:r>
    </w:p>
    <w:tbl>
      <w:tblPr>
        <w:tblW w:w="0" w:type="auto"/>
        <w:tblLook w:val="00A0"/>
      </w:tblPr>
      <w:tblGrid>
        <w:gridCol w:w="3224"/>
        <w:gridCol w:w="3241"/>
        <w:gridCol w:w="3106"/>
      </w:tblGrid>
      <w:tr w:rsidR="00765235" w:rsidRPr="00AA43B3" w:rsidTr="00AA43B3">
        <w:tc>
          <w:tcPr>
            <w:tcW w:w="3190" w:type="dxa"/>
          </w:tcPr>
          <w:bookmarkEnd w:id="0"/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eastAsia="Times New Roman" w:hAnsi="Times New Roman"/>
                <w:sz w:val="24"/>
                <w:szCs w:val="24"/>
              </w:rPr>
              <w:object w:dxaOrig="4936" w:dyaOrig="4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6pt;height:123pt" o:ole="">
                  <v:imagedata r:id="rId5" o:title=""/>
                </v:shape>
                <o:OLEObject Type="Embed" ProgID="ChemDraw.Document.6.0" ShapeID="_x0000_i1025" DrawAspect="Content" ObjectID="_1772971788" r:id="rId6"/>
              </w:object>
            </w:r>
          </w:p>
        </w:tc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eastAsia="Times New Roman" w:hAnsi="Times New Roman"/>
                <w:sz w:val="24"/>
                <w:szCs w:val="24"/>
              </w:rPr>
              <w:object w:dxaOrig="2500" w:dyaOrig="3211">
                <v:shape id="_x0000_i1026" type="#_x0000_t75" style="width:105pt;height:132pt" o:ole="">
                  <v:imagedata r:id="rId7" o:title=""/>
                </v:shape>
                <o:OLEObject Type="Embed" ProgID="ChemDraw.Document.6.0" ShapeID="_x0000_i1026" DrawAspect="Content" ObjectID="_1772971789" r:id="rId8"/>
              </w:object>
            </w:r>
          </w:p>
        </w:tc>
        <w:tc>
          <w:tcPr>
            <w:tcW w:w="3191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eastAsia="Times New Roman" w:hAnsi="Times New Roman"/>
                <w:sz w:val="24"/>
                <w:szCs w:val="24"/>
              </w:rPr>
              <w:object w:dxaOrig="2772" w:dyaOrig="2566">
                <v:shape id="_x0000_i1027" type="#_x0000_t75" style="width:135.6pt;height:128.4pt" o:ole="">
                  <v:imagedata r:id="rId9" o:title=""/>
                </v:shape>
                <o:OLEObject Type="Embed" ProgID="ChemDraw.Document.6.0" ShapeID="_x0000_i1027" DrawAspect="Content" ObjectID="_1772971790" r:id="rId10"/>
              </w:object>
            </w:r>
          </w:p>
        </w:tc>
      </w:tr>
      <w:tr w:rsidR="00765235" w:rsidRPr="00AA43B3" w:rsidTr="00AA43B3"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65235" w:rsidRPr="00AA43B3" w:rsidTr="00AA43B3"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eastAsia="Times New Roman" w:hAnsi="Times New Roman"/>
                <w:sz w:val="24"/>
                <w:szCs w:val="24"/>
              </w:rPr>
              <w:object w:dxaOrig="4186" w:dyaOrig="3862">
                <v:shape id="_x0000_i1028" type="#_x0000_t75" style="width:121.8pt;height:117.6pt" o:ole="">
                  <v:imagedata r:id="rId11" o:title=""/>
                </v:shape>
                <o:OLEObject Type="Embed" ProgID="ChemDraw.Document.6.0" ShapeID="_x0000_i1028" DrawAspect="Content" ObjectID="_1772971791" r:id="rId12"/>
              </w:object>
            </w:r>
          </w:p>
        </w:tc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eastAsia="Times New Roman" w:hAnsi="Times New Roman"/>
                <w:sz w:val="24"/>
                <w:szCs w:val="24"/>
              </w:rPr>
              <w:object w:dxaOrig="3276" w:dyaOrig="3190">
                <v:shape id="_x0000_i1029" type="#_x0000_t75" style="width:126pt;height:119.4pt" o:ole="">
                  <v:imagedata r:id="rId13" o:title=""/>
                </v:shape>
                <o:OLEObject Type="Embed" ProgID="ChemDraw.Document.6.0" ShapeID="_x0000_i1029" DrawAspect="Content" ObjectID="_1772971792" r:id="rId14"/>
              </w:object>
            </w:r>
          </w:p>
        </w:tc>
        <w:tc>
          <w:tcPr>
            <w:tcW w:w="3191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hAnsi="Times New Roman"/>
                <w:sz w:val="24"/>
                <w:szCs w:val="24"/>
              </w:rPr>
              <w:object w:dxaOrig="3550" w:dyaOrig="2780">
                <v:shape id="_x0000_i1030" type="#_x0000_t75" style="width:2in;height:112.2pt" o:ole="">
                  <v:imagedata r:id="rId15" o:title=""/>
                </v:shape>
                <o:OLEObject Type="Embed" ProgID="ChemDraw.Document.6.0" ShapeID="_x0000_i1030" DrawAspect="Content" ObjectID="_1772971793" r:id="rId16"/>
              </w:object>
            </w:r>
          </w:p>
        </w:tc>
      </w:tr>
      <w:tr w:rsidR="00765235" w:rsidRPr="00AA43B3" w:rsidTr="00AA43B3"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35" w:rsidRPr="00AA43B3" w:rsidTr="00AA43B3"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hAnsi="Times New Roman"/>
                <w:sz w:val="24"/>
                <w:szCs w:val="24"/>
              </w:rPr>
              <w:object w:dxaOrig="3550" w:dyaOrig="2780">
                <v:shape id="_x0000_i1031" type="#_x0000_t75" style="width:153pt;height:118.8pt" o:ole="">
                  <v:imagedata r:id="rId17" o:title=""/>
                </v:shape>
                <o:OLEObject Type="Embed" ProgID="ChemDraw.Document.6.0" ShapeID="_x0000_i1031" DrawAspect="Content" ObjectID="_1772971794" r:id="rId18"/>
              </w:object>
            </w:r>
          </w:p>
        </w:tc>
        <w:tc>
          <w:tcPr>
            <w:tcW w:w="3190" w:type="dxa"/>
          </w:tcPr>
          <w:p w:rsidR="00765235" w:rsidRPr="00AA43B3" w:rsidRDefault="00BF03B0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5480" cy="1516380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3B3">
              <w:rPr>
                <w:rFonts w:ascii="Times New Roman" w:eastAsia="Times New Roman" w:hAnsi="Times New Roman"/>
                <w:sz w:val="24"/>
                <w:szCs w:val="24"/>
              </w:rPr>
              <w:object w:dxaOrig="4992" w:dyaOrig="4113">
                <v:shape id="_x0000_i1033" type="#_x0000_t75" style="width:147pt;height:121.8pt" o:ole="">
                  <v:imagedata r:id="rId20" o:title=""/>
                </v:shape>
                <o:OLEObject Type="Embed" ProgID="ChemDraw.Document.6.0" ShapeID="_x0000_i1033" DrawAspect="Content" ObjectID="_1772971795" r:id="rId21"/>
              </w:object>
            </w:r>
          </w:p>
        </w:tc>
      </w:tr>
      <w:tr w:rsidR="00765235" w:rsidRPr="00AA43B3" w:rsidTr="00AA43B3"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65235" w:rsidRPr="00AA43B3" w:rsidRDefault="00765235" w:rsidP="00AA4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3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65235" w:rsidRPr="0099748B" w:rsidRDefault="00765235" w:rsidP="00DB74AF">
      <w:pPr>
        <w:jc w:val="center"/>
        <w:rPr>
          <w:rFonts w:ascii="Times New Roman" w:hAnsi="Times New Roman"/>
          <w:b/>
          <w:sz w:val="24"/>
          <w:szCs w:val="24"/>
        </w:rPr>
      </w:pPr>
      <w:r w:rsidRPr="0099748B">
        <w:rPr>
          <w:rFonts w:ascii="Times New Roman" w:hAnsi="Times New Roman"/>
          <w:b/>
          <w:sz w:val="24"/>
          <w:szCs w:val="24"/>
        </w:rPr>
        <w:t>Рисунок 1. Выбранные для расчёта структуры производных фуллерена.</w:t>
      </w:r>
    </w:p>
    <w:p w:rsidR="00765235" w:rsidRDefault="00765235" w:rsidP="002F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5235" w:rsidRDefault="00765235" w:rsidP="00DB74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моделирования структур молекул этих соединений были использованы методы теории функционала плотности. Макромолекулы ферментов были смоделированы с помощью метода моделирования по гомологии.</w:t>
      </w:r>
    </w:p>
    <w:p w:rsidR="00765235" w:rsidRDefault="00765235" w:rsidP="002F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Далее было проведено изучение взаимодействия исследованных соединений с макромолекулами двух ферментов ВИЧ – обратной транскриптазой и интегразой ВИЧ – методом молекулярного докинга с использованием многоуровневых схем. </w:t>
      </w:r>
    </w:p>
    <w:p w:rsidR="00765235" w:rsidRDefault="00765235" w:rsidP="002F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Сравнение величин свободной энергии связывания протеин-фуллереновых комплексов с субстратом, полученных при расчётах с использованием многоуровневых схем, для случаев обратной транскриптазы и интегразы ВИЧ позволяет предположить, что наиболее вероятной мишенью для производных фуллерена является интеграза ВИЧ, что с высокой степенью корреляции соответствует экспериментальным данным по ингибированию обоих ферментов. Использование же одноуровневых схем расчёта не позволяет достичь таких результатов.</w:t>
      </w:r>
    </w:p>
    <w:p w:rsidR="00765235" w:rsidRPr="00A743BF" w:rsidRDefault="00765235" w:rsidP="002F4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5235" w:rsidRPr="00A743BF" w:rsidRDefault="00765235" w:rsidP="00A743BF">
      <w:pPr>
        <w:jc w:val="both"/>
        <w:rPr>
          <w:rFonts w:ascii="Times New Roman" w:hAnsi="Times New Roman"/>
          <w:sz w:val="24"/>
          <w:szCs w:val="24"/>
        </w:rPr>
      </w:pPr>
    </w:p>
    <w:sectPr w:rsidR="00765235" w:rsidRPr="00A743BF" w:rsidSect="0078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2744A"/>
    <w:multiLevelType w:val="hybridMultilevel"/>
    <w:tmpl w:val="4E80F49A"/>
    <w:lvl w:ilvl="0" w:tplc="A3509C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2C83"/>
    <w:rsid w:val="00012C83"/>
    <w:rsid w:val="00061332"/>
    <w:rsid w:val="000F3325"/>
    <w:rsid w:val="00124A32"/>
    <w:rsid w:val="00126D57"/>
    <w:rsid w:val="0015564D"/>
    <w:rsid w:val="00194B47"/>
    <w:rsid w:val="00197B94"/>
    <w:rsid w:val="001C4DAA"/>
    <w:rsid w:val="002109A7"/>
    <w:rsid w:val="00271D0F"/>
    <w:rsid w:val="002722D8"/>
    <w:rsid w:val="002F46F1"/>
    <w:rsid w:val="003161E5"/>
    <w:rsid w:val="00364CDA"/>
    <w:rsid w:val="003B0CF5"/>
    <w:rsid w:val="003F1F9E"/>
    <w:rsid w:val="003F3C61"/>
    <w:rsid w:val="00420C7A"/>
    <w:rsid w:val="0042607D"/>
    <w:rsid w:val="00442D9B"/>
    <w:rsid w:val="0047034B"/>
    <w:rsid w:val="00483DDE"/>
    <w:rsid w:val="004E5304"/>
    <w:rsid w:val="00534484"/>
    <w:rsid w:val="005D5953"/>
    <w:rsid w:val="005E0B62"/>
    <w:rsid w:val="005E711B"/>
    <w:rsid w:val="005F442A"/>
    <w:rsid w:val="0060723A"/>
    <w:rsid w:val="00623B49"/>
    <w:rsid w:val="00653387"/>
    <w:rsid w:val="006B4D03"/>
    <w:rsid w:val="006D569C"/>
    <w:rsid w:val="006D7DE4"/>
    <w:rsid w:val="007576B7"/>
    <w:rsid w:val="007577B8"/>
    <w:rsid w:val="00765235"/>
    <w:rsid w:val="00783396"/>
    <w:rsid w:val="007E03BA"/>
    <w:rsid w:val="007F26F9"/>
    <w:rsid w:val="008B45F2"/>
    <w:rsid w:val="008F7731"/>
    <w:rsid w:val="00910D7C"/>
    <w:rsid w:val="009142A5"/>
    <w:rsid w:val="0099748B"/>
    <w:rsid w:val="009D352E"/>
    <w:rsid w:val="00A207AB"/>
    <w:rsid w:val="00A743BF"/>
    <w:rsid w:val="00AA43B3"/>
    <w:rsid w:val="00B02255"/>
    <w:rsid w:val="00B525CE"/>
    <w:rsid w:val="00B669C3"/>
    <w:rsid w:val="00BD1290"/>
    <w:rsid w:val="00BD6642"/>
    <w:rsid w:val="00BF03B0"/>
    <w:rsid w:val="00C00D36"/>
    <w:rsid w:val="00C5036E"/>
    <w:rsid w:val="00C9329A"/>
    <w:rsid w:val="00C95EA6"/>
    <w:rsid w:val="00CA3734"/>
    <w:rsid w:val="00CC0B1C"/>
    <w:rsid w:val="00CF1E95"/>
    <w:rsid w:val="00D17D64"/>
    <w:rsid w:val="00D51404"/>
    <w:rsid w:val="00D75EF7"/>
    <w:rsid w:val="00DB3B2A"/>
    <w:rsid w:val="00DB74AF"/>
    <w:rsid w:val="00DF3A74"/>
    <w:rsid w:val="00E22C89"/>
    <w:rsid w:val="00E52276"/>
    <w:rsid w:val="00EB75A2"/>
    <w:rsid w:val="00F2113D"/>
    <w:rsid w:val="00F259A7"/>
    <w:rsid w:val="00F30258"/>
    <w:rsid w:val="00F47A24"/>
    <w:rsid w:val="00F94912"/>
    <w:rsid w:val="00FF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C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EB75A2"/>
    <w:rPr>
      <w:lang w:eastAsia="en-US"/>
    </w:rPr>
  </w:style>
  <w:style w:type="character" w:styleId="a5">
    <w:name w:val="annotation reference"/>
    <w:basedOn w:val="a0"/>
    <w:uiPriority w:val="99"/>
    <w:semiHidden/>
    <w:rsid w:val="0042607D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260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2607D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26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2607D"/>
    <w:rPr>
      <w:b/>
      <w:bCs/>
    </w:rPr>
  </w:style>
  <w:style w:type="paragraph" w:styleId="aa">
    <w:name w:val="Balloon Text"/>
    <w:basedOn w:val="a"/>
    <w:link w:val="ab"/>
    <w:uiPriority w:val="99"/>
    <w:semiHidden/>
    <w:rsid w:val="00DB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B3B2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F3325"/>
    <w:pPr>
      <w:ind w:left="720"/>
      <w:contextualSpacing/>
    </w:pPr>
  </w:style>
  <w:style w:type="character" w:customStyle="1" w:styleId="arxivid">
    <w:name w:val="arxivid"/>
    <w:basedOn w:val="a0"/>
    <w:uiPriority w:val="99"/>
    <w:rsid w:val="002F46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анти-ВИЧ-активности производных фуллеренов с использованием многоуровневых расчётных схем</dc:title>
  <dc:creator>Alex</dc:creator>
  <cp:lastModifiedBy>User</cp:lastModifiedBy>
  <cp:revision>2</cp:revision>
  <dcterms:created xsi:type="dcterms:W3CDTF">2024-03-26T12:23:00Z</dcterms:created>
  <dcterms:modified xsi:type="dcterms:W3CDTF">2024-03-26T12:23:00Z</dcterms:modified>
</cp:coreProperties>
</file>